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9F" w:rsidRPr="000C0E8C" w:rsidRDefault="0008569F" w:rsidP="0008569F">
      <w:pPr>
        <w:spacing w:after="40"/>
        <w:jc w:val="center"/>
        <w:rPr>
          <w:rFonts w:ascii="Arial" w:hAnsi="Arial" w:cs="Arial"/>
          <w:b/>
          <w:sz w:val="26"/>
          <w:szCs w:val="26"/>
        </w:rPr>
      </w:pPr>
      <w:r w:rsidRPr="000C0E8C">
        <w:rPr>
          <w:rFonts w:ascii="Arial" w:hAnsi="Arial" w:cs="Arial"/>
          <w:b/>
          <w:sz w:val="26"/>
          <w:szCs w:val="26"/>
        </w:rPr>
        <w:t>A Foundation Prospects Chart</w:t>
      </w:r>
    </w:p>
    <w:p w:rsidR="000C0E8C" w:rsidRPr="000C0E8C" w:rsidRDefault="000C0E8C" w:rsidP="0008569F">
      <w:pPr>
        <w:spacing w:after="80" w:line="240" w:lineRule="auto"/>
        <w:jc w:val="center"/>
        <w:rPr>
          <w:rFonts w:ascii="Arial" w:hAnsi="Arial" w:cs="Arial"/>
          <w:sz w:val="20"/>
          <w:szCs w:val="20"/>
        </w:rPr>
      </w:pPr>
      <w:r w:rsidRPr="000C0E8C">
        <w:rPr>
          <w:rFonts w:ascii="Arial" w:hAnsi="Arial" w:cs="Arial"/>
          <w:sz w:val="20"/>
          <w:szCs w:val="20"/>
        </w:rPr>
        <w:t>By Susan Whitmore</w:t>
      </w:r>
      <w:r w:rsidR="0008569F">
        <w:rPr>
          <w:rFonts w:ascii="Arial" w:hAnsi="Arial" w:cs="Arial"/>
          <w:sz w:val="20"/>
          <w:szCs w:val="20"/>
        </w:rPr>
        <w:t xml:space="preserve">, </w:t>
      </w:r>
      <w:proofErr w:type="gramStart"/>
      <w:r w:rsidRPr="000C0E8C">
        <w:rPr>
          <w:rFonts w:ascii="Arial" w:hAnsi="Arial" w:cs="Arial"/>
          <w:sz w:val="20"/>
          <w:szCs w:val="20"/>
        </w:rPr>
        <w:t>The</w:t>
      </w:r>
      <w:proofErr w:type="gramEnd"/>
      <w:r w:rsidRPr="000C0E8C">
        <w:rPr>
          <w:rFonts w:ascii="Arial" w:hAnsi="Arial" w:cs="Arial"/>
          <w:sz w:val="20"/>
          <w:szCs w:val="20"/>
        </w:rPr>
        <w:t xml:space="preserve"> Moran Company</w:t>
      </w:r>
    </w:p>
    <w:p w:rsidR="000C0E8C" w:rsidRPr="000C0E8C" w:rsidRDefault="000C0E8C" w:rsidP="000C0E8C">
      <w:pPr>
        <w:spacing w:after="0" w:line="240" w:lineRule="auto"/>
        <w:jc w:val="center"/>
        <w:rPr>
          <w:rFonts w:ascii="Arial" w:hAnsi="Arial" w:cs="Arial"/>
          <w:sz w:val="20"/>
          <w:szCs w:val="20"/>
        </w:rPr>
      </w:pPr>
    </w:p>
    <w:p w:rsidR="000C0E8C" w:rsidRPr="000C0E8C" w:rsidRDefault="000C0E8C" w:rsidP="000C0E8C">
      <w:pPr>
        <w:spacing w:before="120" w:after="120"/>
        <w:rPr>
          <w:rFonts w:ascii="Arial" w:hAnsi="Arial" w:cs="Arial"/>
          <w:b/>
          <w:sz w:val="26"/>
          <w:szCs w:val="26"/>
        </w:rPr>
      </w:pPr>
      <w:r w:rsidRPr="000C0E8C">
        <w:rPr>
          <w:rFonts w:ascii="Arial" w:hAnsi="Arial" w:cs="Arial"/>
          <w:b/>
          <w:sz w:val="26"/>
          <w:szCs w:val="26"/>
        </w:rPr>
        <w:t>A Foundation Prospects Chart</w:t>
      </w:r>
    </w:p>
    <w:p w:rsidR="000C0E8C" w:rsidRPr="000C0E8C" w:rsidRDefault="000C0E8C" w:rsidP="000C0E8C">
      <w:pPr>
        <w:ind w:right="-360"/>
        <w:rPr>
          <w:rFonts w:ascii="Arial" w:hAnsi="Arial" w:cs="Arial"/>
          <w:sz w:val="21"/>
          <w:szCs w:val="21"/>
        </w:rPr>
      </w:pPr>
      <w:r w:rsidRPr="000C0E8C">
        <w:rPr>
          <w:rFonts w:ascii="Arial" w:hAnsi="Arial" w:cs="Arial"/>
          <w:sz w:val="21"/>
          <w:szCs w:val="21"/>
        </w:rPr>
        <w:t xml:space="preserve">The aim of a prospects chart is help keep you on track with the preparation, submission, and follow-up of grant requests over the course of six months or a year. If you stick to a schedule, you will not overburden your administrative office with too many proposals to submit or track at one time. </w:t>
      </w:r>
      <w:r w:rsidRPr="000C0E8C">
        <w:rPr>
          <w:rFonts w:ascii="Arial" w:hAnsi="Arial" w:cs="Arial"/>
          <w:sz w:val="21"/>
          <w:szCs w:val="21"/>
        </w:rPr>
        <w:br/>
        <w:t xml:space="preserve">A number of requests submitted over time will also hopefully insure a steady stream of funding. </w:t>
      </w:r>
    </w:p>
    <w:p w:rsidR="000C0E8C" w:rsidRPr="000C0E8C" w:rsidRDefault="000C0E8C" w:rsidP="000C0E8C">
      <w:pPr>
        <w:rPr>
          <w:rFonts w:ascii="Arial" w:hAnsi="Arial" w:cs="Arial"/>
          <w:sz w:val="21"/>
          <w:szCs w:val="21"/>
        </w:rPr>
      </w:pPr>
      <w:r w:rsidRPr="000C0E8C">
        <w:rPr>
          <w:rFonts w:ascii="Arial" w:hAnsi="Arial" w:cs="Arial"/>
          <w:sz w:val="21"/>
          <w:szCs w:val="21"/>
        </w:rPr>
        <w:t xml:space="preserve">Your prospect chart should include the following categories: </w:t>
      </w:r>
    </w:p>
    <w:p w:rsidR="000C0E8C" w:rsidRPr="000C0E8C" w:rsidRDefault="000C0E8C" w:rsidP="000C0E8C">
      <w:pPr>
        <w:pStyle w:val="ListParagraph"/>
        <w:numPr>
          <w:ilvl w:val="0"/>
          <w:numId w:val="2"/>
        </w:numPr>
        <w:rPr>
          <w:rFonts w:ascii="Arial" w:hAnsi="Arial" w:cs="Arial"/>
          <w:sz w:val="21"/>
          <w:szCs w:val="21"/>
        </w:rPr>
      </w:pPr>
      <w:r w:rsidRPr="000C0E8C">
        <w:rPr>
          <w:rFonts w:ascii="Arial" w:hAnsi="Arial" w:cs="Arial"/>
          <w:sz w:val="21"/>
          <w:szCs w:val="21"/>
        </w:rPr>
        <w:t xml:space="preserve">Foundation name and contact information: Address, phone number, and the name of the person to call for follow-up. </w:t>
      </w:r>
    </w:p>
    <w:p w:rsidR="000C0E8C" w:rsidRPr="000C0E8C" w:rsidRDefault="000C0E8C" w:rsidP="000C0E8C">
      <w:pPr>
        <w:pStyle w:val="ListParagraph"/>
        <w:numPr>
          <w:ilvl w:val="0"/>
          <w:numId w:val="2"/>
        </w:numPr>
        <w:rPr>
          <w:rFonts w:ascii="Arial" w:hAnsi="Arial" w:cs="Arial"/>
          <w:sz w:val="21"/>
          <w:szCs w:val="21"/>
        </w:rPr>
      </w:pPr>
      <w:r w:rsidRPr="000C0E8C">
        <w:rPr>
          <w:rFonts w:ascii="Arial" w:hAnsi="Arial" w:cs="Arial"/>
          <w:sz w:val="21"/>
          <w:szCs w:val="21"/>
        </w:rPr>
        <w:t xml:space="preserve">Foundation information: Areas of interest, geographic focus, and any limitations. </w:t>
      </w:r>
    </w:p>
    <w:p w:rsidR="000C0E8C" w:rsidRPr="000C0E8C" w:rsidRDefault="000C0E8C" w:rsidP="000C0E8C">
      <w:pPr>
        <w:pStyle w:val="ListParagraph"/>
        <w:numPr>
          <w:ilvl w:val="0"/>
          <w:numId w:val="2"/>
        </w:numPr>
        <w:rPr>
          <w:rFonts w:ascii="Arial" w:hAnsi="Arial" w:cs="Arial"/>
          <w:sz w:val="21"/>
          <w:szCs w:val="21"/>
        </w:rPr>
      </w:pPr>
      <w:r w:rsidRPr="000C0E8C">
        <w:rPr>
          <w:rFonts w:ascii="Arial" w:hAnsi="Arial" w:cs="Arial"/>
          <w:sz w:val="21"/>
          <w:szCs w:val="21"/>
        </w:rPr>
        <w:t xml:space="preserve">Application information: What to send, guidelines or how to request them, deadlines. </w:t>
      </w:r>
    </w:p>
    <w:p w:rsidR="000C0E8C" w:rsidRPr="000C0E8C" w:rsidRDefault="000C0E8C" w:rsidP="000C0E8C">
      <w:pPr>
        <w:pStyle w:val="ListParagraph"/>
        <w:numPr>
          <w:ilvl w:val="0"/>
          <w:numId w:val="2"/>
        </w:numPr>
        <w:rPr>
          <w:rFonts w:ascii="Arial" w:hAnsi="Arial" w:cs="Arial"/>
          <w:sz w:val="21"/>
          <w:szCs w:val="21"/>
        </w:rPr>
      </w:pPr>
      <w:r w:rsidRPr="000C0E8C">
        <w:rPr>
          <w:rFonts w:ascii="Arial" w:hAnsi="Arial" w:cs="Arial"/>
          <w:sz w:val="21"/>
          <w:szCs w:val="21"/>
        </w:rPr>
        <w:t xml:space="preserve">Your request: When to submit, dollar request, and what program the request is for. (Time your request in accordance with foundation board meetings if no deadline is listed; base your dollar request on the foundation’s recent giving history.) </w:t>
      </w:r>
    </w:p>
    <w:p w:rsidR="000C0E8C" w:rsidRPr="000C0E8C" w:rsidRDefault="000C0E8C" w:rsidP="000C0E8C">
      <w:pPr>
        <w:pStyle w:val="ListParagraph"/>
        <w:numPr>
          <w:ilvl w:val="0"/>
          <w:numId w:val="2"/>
        </w:numPr>
        <w:rPr>
          <w:rFonts w:ascii="Arial" w:hAnsi="Arial" w:cs="Arial"/>
          <w:sz w:val="21"/>
          <w:szCs w:val="21"/>
        </w:rPr>
      </w:pPr>
      <w:r w:rsidRPr="000C0E8C">
        <w:rPr>
          <w:rFonts w:ascii="Arial" w:hAnsi="Arial" w:cs="Arial"/>
          <w:sz w:val="21"/>
          <w:szCs w:val="21"/>
        </w:rPr>
        <w:t xml:space="preserve">Status: This column includes ongoing information, including when the application was sent, when follow-up phone calls or meetings took place, and the request outcome. </w:t>
      </w:r>
    </w:p>
    <w:p w:rsidR="000C0E8C" w:rsidRPr="000C0E8C" w:rsidRDefault="000C0E8C" w:rsidP="000C0E8C">
      <w:pPr>
        <w:rPr>
          <w:rFonts w:ascii="Arial" w:hAnsi="Arial" w:cs="Arial"/>
        </w:rPr>
      </w:pPr>
      <w:r w:rsidRPr="000C0E8C">
        <w:rPr>
          <w:rFonts w:ascii="Arial" w:hAnsi="Arial" w:cs="Arial"/>
        </w:rPr>
        <w:t xml:space="preserve">A typical prospects chart might look like the one listed below. </w:t>
      </w:r>
    </w:p>
    <w:tbl>
      <w:tblPr>
        <w:tblStyle w:val="TableGrid"/>
        <w:tblW w:w="10074" w:type="dxa"/>
        <w:tblLook w:val="04A0"/>
      </w:tblPr>
      <w:tblGrid>
        <w:gridCol w:w="1872"/>
        <w:gridCol w:w="2658"/>
        <w:gridCol w:w="2022"/>
        <w:gridCol w:w="1726"/>
        <w:gridCol w:w="1796"/>
      </w:tblGrid>
      <w:tr w:rsidR="000C0E8C" w:rsidRPr="0045083E" w:rsidTr="006D09F1">
        <w:trPr>
          <w:trHeight w:val="328"/>
        </w:trPr>
        <w:tc>
          <w:tcPr>
            <w:tcW w:w="10074" w:type="dxa"/>
            <w:gridSpan w:val="5"/>
            <w:vAlign w:val="center"/>
          </w:tcPr>
          <w:p w:rsidR="000C0E8C" w:rsidRPr="0045083E" w:rsidRDefault="000C0E8C" w:rsidP="0045083E">
            <w:pPr>
              <w:rPr>
                <w:rFonts w:ascii="Arial" w:hAnsi="Arial" w:cs="Arial"/>
                <w:b/>
                <w:sz w:val="20"/>
                <w:szCs w:val="20"/>
              </w:rPr>
            </w:pPr>
            <w:r w:rsidRPr="0045083E">
              <w:rPr>
                <w:rFonts w:ascii="Arial" w:hAnsi="Arial" w:cs="Arial"/>
                <w:b/>
                <w:sz w:val="20"/>
                <w:szCs w:val="20"/>
              </w:rPr>
              <w:t>Grant Options: January – June 2003</w:t>
            </w:r>
          </w:p>
        </w:tc>
      </w:tr>
      <w:tr w:rsidR="000C0E8C" w:rsidRPr="0045083E" w:rsidTr="006D09F1">
        <w:trPr>
          <w:trHeight w:val="328"/>
        </w:trPr>
        <w:tc>
          <w:tcPr>
            <w:tcW w:w="1872" w:type="dxa"/>
            <w:vAlign w:val="center"/>
          </w:tcPr>
          <w:p w:rsidR="000C0E8C" w:rsidRPr="0045083E" w:rsidRDefault="000C0E8C" w:rsidP="0045083E">
            <w:pPr>
              <w:rPr>
                <w:rFonts w:ascii="Arial" w:hAnsi="Arial" w:cs="Arial"/>
                <w:b/>
                <w:sz w:val="20"/>
                <w:szCs w:val="20"/>
              </w:rPr>
            </w:pPr>
            <w:r w:rsidRPr="0045083E">
              <w:rPr>
                <w:rFonts w:ascii="Arial" w:hAnsi="Arial" w:cs="Arial"/>
                <w:b/>
                <w:sz w:val="20"/>
                <w:szCs w:val="20"/>
              </w:rPr>
              <w:t>Foundation</w:t>
            </w:r>
          </w:p>
        </w:tc>
        <w:tc>
          <w:tcPr>
            <w:tcW w:w="2658" w:type="dxa"/>
            <w:vAlign w:val="center"/>
          </w:tcPr>
          <w:p w:rsidR="000C0E8C" w:rsidRPr="0045083E" w:rsidRDefault="000C0E8C" w:rsidP="0045083E">
            <w:pPr>
              <w:rPr>
                <w:rFonts w:ascii="Arial" w:hAnsi="Arial" w:cs="Arial"/>
                <w:b/>
                <w:sz w:val="20"/>
                <w:szCs w:val="20"/>
              </w:rPr>
            </w:pPr>
            <w:r w:rsidRPr="0045083E">
              <w:rPr>
                <w:rFonts w:ascii="Arial" w:hAnsi="Arial" w:cs="Arial"/>
                <w:b/>
                <w:sz w:val="20"/>
                <w:szCs w:val="20"/>
              </w:rPr>
              <w:t>Foundation Info</w:t>
            </w:r>
          </w:p>
        </w:tc>
        <w:tc>
          <w:tcPr>
            <w:tcW w:w="2022" w:type="dxa"/>
            <w:vAlign w:val="center"/>
          </w:tcPr>
          <w:p w:rsidR="000C0E8C" w:rsidRPr="0045083E" w:rsidRDefault="000C0E8C" w:rsidP="0045083E">
            <w:pPr>
              <w:rPr>
                <w:rFonts w:ascii="Arial" w:hAnsi="Arial" w:cs="Arial"/>
                <w:b/>
                <w:sz w:val="20"/>
                <w:szCs w:val="20"/>
              </w:rPr>
            </w:pPr>
            <w:r w:rsidRPr="0045083E">
              <w:rPr>
                <w:rFonts w:ascii="Arial" w:hAnsi="Arial" w:cs="Arial"/>
                <w:b/>
                <w:sz w:val="20"/>
                <w:szCs w:val="20"/>
              </w:rPr>
              <w:t>Application Info</w:t>
            </w:r>
          </w:p>
        </w:tc>
        <w:tc>
          <w:tcPr>
            <w:tcW w:w="1726" w:type="dxa"/>
            <w:vAlign w:val="center"/>
          </w:tcPr>
          <w:p w:rsidR="000C0E8C" w:rsidRPr="0045083E" w:rsidRDefault="000C0E8C" w:rsidP="0045083E">
            <w:pPr>
              <w:rPr>
                <w:rFonts w:ascii="Arial" w:hAnsi="Arial" w:cs="Arial"/>
                <w:b/>
                <w:sz w:val="20"/>
                <w:szCs w:val="20"/>
              </w:rPr>
            </w:pPr>
            <w:r w:rsidRPr="0045083E">
              <w:rPr>
                <w:rFonts w:ascii="Arial" w:hAnsi="Arial" w:cs="Arial"/>
                <w:b/>
                <w:sz w:val="20"/>
                <w:szCs w:val="20"/>
              </w:rPr>
              <w:t>Request</w:t>
            </w:r>
          </w:p>
        </w:tc>
        <w:tc>
          <w:tcPr>
            <w:tcW w:w="1796" w:type="dxa"/>
            <w:vAlign w:val="center"/>
          </w:tcPr>
          <w:p w:rsidR="000C0E8C" w:rsidRPr="0045083E" w:rsidRDefault="000C0E8C" w:rsidP="0045083E">
            <w:pPr>
              <w:rPr>
                <w:rFonts w:ascii="Arial" w:hAnsi="Arial" w:cs="Arial"/>
                <w:b/>
                <w:sz w:val="20"/>
                <w:szCs w:val="20"/>
              </w:rPr>
            </w:pPr>
            <w:r w:rsidRPr="0045083E">
              <w:rPr>
                <w:rFonts w:ascii="Arial" w:hAnsi="Arial" w:cs="Arial"/>
                <w:b/>
                <w:sz w:val="20"/>
                <w:szCs w:val="20"/>
              </w:rPr>
              <w:t>Status</w:t>
            </w:r>
          </w:p>
        </w:tc>
      </w:tr>
      <w:tr w:rsidR="000C0E8C" w:rsidRPr="0045083E" w:rsidTr="006D09F1">
        <w:trPr>
          <w:trHeight w:val="835"/>
        </w:trPr>
        <w:tc>
          <w:tcPr>
            <w:tcW w:w="1872" w:type="dxa"/>
            <w:vAlign w:val="center"/>
          </w:tcPr>
          <w:p w:rsidR="000C0E8C" w:rsidRPr="0045083E" w:rsidRDefault="000C0E8C" w:rsidP="0045083E">
            <w:pPr>
              <w:jc w:val="center"/>
              <w:rPr>
                <w:rFonts w:ascii="Arial" w:hAnsi="Arial" w:cs="Arial"/>
                <w:sz w:val="20"/>
                <w:szCs w:val="20"/>
              </w:rPr>
            </w:pPr>
          </w:p>
        </w:tc>
        <w:tc>
          <w:tcPr>
            <w:tcW w:w="2658" w:type="dxa"/>
            <w:vAlign w:val="center"/>
          </w:tcPr>
          <w:p w:rsidR="000C0E8C" w:rsidRPr="0045083E" w:rsidRDefault="000C0E8C" w:rsidP="0045083E">
            <w:pPr>
              <w:jc w:val="center"/>
              <w:rPr>
                <w:rFonts w:ascii="Arial" w:hAnsi="Arial" w:cs="Arial"/>
                <w:b/>
                <w:sz w:val="20"/>
                <w:szCs w:val="20"/>
              </w:rPr>
            </w:pPr>
            <w:r w:rsidRPr="0045083E">
              <w:rPr>
                <w:rFonts w:ascii="Arial" w:hAnsi="Arial" w:cs="Arial"/>
                <w:b/>
                <w:sz w:val="20"/>
                <w:szCs w:val="20"/>
              </w:rPr>
              <w:t>Fields of interest:</w:t>
            </w:r>
          </w:p>
          <w:p w:rsidR="000C0E8C" w:rsidRPr="0045083E" w:rsidRDefault="000C0E8C" w:rsidP="0045083E">
            <w:pPr>
              <w:jc w:val="center"/>
              <w:rPr>
                <w:rFonts w:ascii="Arial" w:hAnsi="Arial" w:cs="Arial"/>
                <w:b/>
                <w:sz w:val="20"/>
                <w:szCs w:val="20"/>
              </w:rPr>
            </w:pPr>
            <w:r w:rsidRPr="0045083E">
              <w:rPr>
                <w:rFonts w:ascii="Arial" w:hAnsi="Arial" w:cs="Arial"/>
                <w:b/>
                <w:sz w:val="20"/>
                <w:szCs w:val="20"/>
              </w:rPr>
              <w:t>Geographic focus</w:t>
            </w:r>
          </w:p>
          <w:p w:rsidR="000C0E8C" w:rsidRPr="0045083E" w:rsidRDefault="000C0E8C" w:rsidP="0045083E">
            <w:pPr>
              <w:jc w:val="center"/>
              <w:rPr>
                <w:rFonts w:ascii="Arial" w:hAnsi="Arial" w:cs="Arial"/>
                <w:sz w:val="20"/>
                <w:szCs w:val="20"/>
              </w:rPr>
            </w:pPr>
            <w:r w:rsidRPr="0045083E">
              <w:rPr>
                <w:rFonts w:ascii="Arial" w:hAnsi="Arial" w:cs="Arial"/>
                <w:b/>
                <w:sz w:val="20"/>
                <w:szCs w:val="20"/>
              </w:rPr>
              <w:t>Limitations</w:t>
            </w:r>
          </w:p>
        </w:tc>
        <w:tc>
          <w:tcPr>
            <w:tcW w:w="2022" w:type="dxa"/>
            <w:vAlign w:val="center"/>
          </w:tcPr>
          <w:p w:rsidR="000C0E8C" w:rsidRPr="0045083E" w:rsidRDefault="000C0E8C" w:rsidP="0045083E">
            <w:pPr>
              <w:jc w:val="center"/>
              <w:rPr>
                <w:rFonts w:ascii="Arial" w:hAnsi="Arial" w:cs="Arial"/>
                <w:sz w:val="20"/>
                <w:szCs w:val="20"/>
              </w:rPr>
            </w:pPr>
            <w:r w:rsidRPr="0045083E">
              <w:rPr>
                <w:rFonts w:ascii="Arial" w:hAnsi="Arial" w:cs="Arial"/>
                <w:sz w:val="20"/>
                <w:szCs w:val="20"/>
              </w:rPr>
              <w:t>Initial approach: Letter</w:t>
            </w:r>
          </w:p>
          <w:p w:rsidR="000C0E8C" w:rsidRPr="0045083E" w:rsidRDefault="000C0E8C" w:rsidP="0045083E">
            <w:pPr>
              <w:jc w:val="center"/>
              <w:rPr>
                <w:rFonts w:ascii="Arial" w:hAnsi="Arial" w:cs="Arial"/>
                <w:sz w:val="20"/>
                <w:szCs w:val="20"/>
              </w:rPr>
            </w:pPr>
            <w:r w:rsidRPr="0045083E">
              <w:rPr>
                <w:rFonts w:ascii="Arial" w:hAnsi="Arial" w:cs="Arial"/>
                <w:sz w:val="20"/>
                <w:szCs w:val="20"/>
              </w:rPr>
              <w:t>Deadline(s): None</w:t>
            </w:r>
          </w:p>
        </w:tc>
        <w:tc>
          <w:tcPr>
            <w:tcW w:w="1726" w:type="dxa"/>
            <w:vAlign w:val="center"/>
          </w:tcPr>
          <w:p w:rsidR="000C0E8C" w:rsidRPr="0045083E" w:rsidRDefault="000C0E8C" w:rsidP="0045083E">
            <w:pPr>
              <w:jc w:val="center"/>
              <w:rPr>
                <w:rFonts w:ascii="Arial" w:hAnsi="Arial" w:cs="Arial"/>
                <w:sz w:val="20"/>
                <w:szCs w:val="20"/>
              </w:rPr>
            </w:pPr>
          </w:p>
        </w:tc>
        <w:tc>
          <w:tcPr>
            <w:tcW w:w="1796" w:type="dxa"/>
            <w:vAlign w:val="center"/>
          </w:tcPr>
          <w:p w:rsidR="000C0E8C" w:rsidRPr="0045083E" w:rsidRDefault="000C0E8C" w:rsidP="0045083E">
            <w:pPr>
              <w:jc w:val="center"/>
              <w:rPr>
                <w:rFonts w:ascii="Arial" w:hAnsi="Arial" w:cs="Arial"/>
                <w:sz w:val="20"/>
                <w:szCs w:val="20"/>
              </w:rPr>
            </w:pPr>
          </w:p>
        </w:tc>
      </w:tr>
      <w:tr w:rsidR="000C0E8C" w:rsidRPr="0045083E" w:rsidTr="006D09F1">
        <w:trPr>
          <w:trHeight w:val="3977"/>
        </w:trPr>
        <w:tc>
          <w:tcPr>
            <w:tcW w:w="1872" w:type="dxa"/>
            <w:vAlign w:val="center"/>
          </w:tcPr>
          <w:p w:rsidR="000C0E8C" w:rsidRPr="0045083E" w:rsidRDefault="000C0E8C" w:rsidP="0045083E">
            <w:pPr>
              <w:jc w:val="center"/>
              <w:rPr>
                <w:rFonts w:ascii="Arial" w:hAnsi="Arial" w:cs="Arial"/>
                <w:b/>
                <w:sz w:val="20"/>
                <w:szCs w:val="20"/>
              </w:rPr>
            </w:pPr>
            <w:r w:rsidRPr="0045083E">
              <w:rPr>
                <w:rFonts w:ascii="Arial" w:hAnsi="Arial" w:cs="Arial"/>
                <w:b/>
                <w:sz w:val="20"/>
                <w:szCs w:val="20"/>
              </w:rPr>
              <w:t xml:space="preserve">Andrews </w:t>
            </w:r>
            <w:proofErr w:type="spellStart"/>
            <w:r w:rsidRPr="0045083E">
              <w:rPr>
                <w:rFonts w:ascii="Arial" w:hAnsi="Arial" w:cs="Arial"/>
                <w:b/>
                <w:sz w:val="20"/>
                <w:szCs w:val="20"/>
              </w:rPr>
              <w:t>McMeel</w:t>
            </w:r>
            <w:proofErr w:type="spellEnd"/>
            <w:r w:rsidRPr="0045083E">
              <w:rPr>
                <w:rFonts w:ascii="Arial" w:hAnsi="Arial" w:cs="Arial"/>
                <w:b/>
                <w:sz w:val="20"/>
                <w:szCs w:val="20"/>
              </w:rPr>
              <w:t xml:space="preserve"> Universal Foundation</w:t>
            </w:r>
          </w:p>
          <w:p w:rsidR="000C0E8C" w:rsidRPr="0045083E" w:rsidRDefault="000C0E8C" w:rsidP="0045083E">
            <w:pPr>
              <w:jc w:val="center"/>
              <w:rPr>
                <w:rFonts w:ascii="Arial" w:hAnsi="Arial" w:cs="Arial"/>
                <w:sz w:val="20"/>
                <w:szCs w:val="20"/>
              </w:rPr>
            </w:pPr>
            <w:r w:rsidRPr="0045083E">
              <w:rPr>
                <w:rFonts w:ascii="Arial" w:hAnsi="Arial" w:cs="Arial"/>
                <w:sz w:val="20"/>
                <w:szCs w:val="20"/>
              </w:rPr>
              <w:t>4520 Main St.</w:t>
            </w:r>
          </w:p>
          <w:p w:rsidR="000C0E8C" w:rsidRPr="0045083E" w:rsidRDefault="000C0E8C" w:rsidP="0045083E">
            <w:pPr>
              <w:jc w:val="center"/>
              <w:rPr>
                <w:rFonts w:ascii="Arial" w:hAnsi="Arial" w:cs="Arial"/>
                <w:sz w:val="20"/>
                <w:szCs w:val="20"/>
              </w:rPr>
            </w:pPr>
            <w:r w:rsidRPr="0045083E">
              <w:rPr>
                <w:rFonts w:ascii="Arial" w:hAnsi="Arial" w:cs="Arial"/>
                <w:sz w:val="20"/>
                <w:szCs w:val="20"/>
              </w:rPr>
              <w:t>Kansas City, MO 64111</w:t>
            </w:r>
          </w:p>
          <w:p w:rsidR="000C0E8C" w:rsidRPr="0045083E" w:rsidRDefault="000C0E8C" w:rsidP="0045083E">
            <w:pPr>
              <w:jc w:val="center"/>
              <w:rPr>
                <w:rFonts w:ascii="Arial" w:hAnsi="Arial" w:cs="Arial"/>
                <w:sz w:val="20"/>
                <w:szCs w:val="20"/>
              </w:rPr>
            </w:pPr>
          </w:p>
          <w:p w:rsidR="000C0E8C" w:rsidRPr="0045083E" w:rsidRDefault="000C0E8C" w:rsidP="0045083E">
            <w:pPr>
              <w:jc w:val="center"/>
              <w:rPr>
                <w:rFonts w:ascii="Arial" w:hAnsi="Arial" w:cs="Arial"/>
                <w:sz w:val="20"/>
                <w:szCs w:val="20"/>
              </w:rPr>
            </w:pPr>
            <w:r w:rsidRPr="0045083E">
              <w:rPr>
                <w:rFonts w:ascii="Arial" w:hAnsi="Arial" w:cs="Arial"/>
                <w:sz w:val="20"/>
                <w:szCs w:val="20"/>
              </w:rPr>
              <w:t>Contact: Kathleen Andrews, V.P. and Secy.</w:t>
            </w:r>
          </w:p>
        </w:tc>
        <w:tc>
          <w:tcPr>
            <w:tcW w:w="2658" w:type="dxa"/>
            <w:vAlign w:val="center"/>
          </w:tcPr>
          <w:p w:rsidR="000C0E8C" w:rsidRPr="0045083E" w:rsidRDefault="000C0E8C" w:rsidP="0045083E">
            <w:pPr>
              <w:jc w:val="center"/>
              <w:rPr>
                <w:rFonts w:ascii="Arial" w:hAnsi="Arial" w:cs="Arial"/>
                <w:sz w:val="20"/>
                <w:szCs w:val="20"/>
              </w:rPr>
            </w:pPr>
            <w:r w:rsidRPr="0045083E">
              <w:rPr>
                <w:rFonts w:ascii="Arial" w:hAnsi="Arial" w:cs="Arial"/>
                <w:b/>
                <w:sz w:val="20"/>
                <w:szCs w:val="20"/>
              </w:rPr>
              <w:t>Fields of interest:</w:t>
            </w:r>
            <w:r w:rsidRPr="0045083E">
              <w:rPr>
                <w:rFonts w:ascii="Arial" w:hAnsi="Arial" w:cs="Arial"/>
                <w:sz w:val="20"/>
                <w:szCs w:val="20"/>
              </w:rPr>
              <w:t xml:space="preserve"> </w:t>
            </w:r>
            <w:r w:rsidR="0045083E" w:rsidRPr="0045083E">
              <w:rPr>
                <w:rFonts w:ascii="Arial" w:hAnsi="Arial" w:cs="Arial"/>
                <w:b/>
                <w:sz w:val="20"/>
                <w:szCs w:val="20"/>
              </w:rPr>
              <w:br/>
            </w:r>
            <w:r w:rsidRPr="0045083E">
              <w:rPr>
                <w:rFonts w:ascii="Arial" w:hAnsi="Arial" w:cs="Arial"/>
                <w:sz w:val="20"/>
                <w:szCs w:val="20"/>
              </w:rPr>
              <w:t>Arts; Community development; Education; Health care; Higher education; Human services; Media/communications; Museums; Performing arts; Youth development.</w:t>
            </w:r>
          </w:p>
          <w:p w:rsidR="000C0E8C" w:rsidRPr="0045083E" w:rsidRDefault="000C0E8C" w:rsidP="0045083E">
            <w:pPr>
              <w:jc w:val="center"/>
              <w:rPr>
                <w:rFonts w:ascii="Arial" w:hAnsi="Arial" w:cs="Arial"/>
                <w:sz w:val="20"/>
                <w:szCs w:val="20"/>
              </w:rPr>
            </w:pPr>
            <w:r w:rsidRPr="0045083E">
              <w:rPr>
                <w:rFonts w:ascii="Arial" w:hAnsi="Arial" w:cs="Arial"/>
                <w:sz w:val="20"/>
                <w:szCs w:val="20"/>
              </w:rPr>
              <w:t>Geographic focus: Kansas; Missouri</w:t>
            </w:r>
          </w:p>
          <w:p w:rsidR="000C0E8C" w:rsidRPr="0045083E" w:rsidRDefault="000C0E8C" w:rsidP="0045083E">
            <w:pPr>
              <w:jc w:val="center"/>
              <w:rPr>
                <w:rFonts w:ascii="Arial" w:hAnsi="Arial" w:cs="Arial"/>
                <w:sz w:val="20"/>
                <w:szCs w:val="20"/>
              </w:rPr>
            </w:pPr>
            <w:r w:rsidRPr="0045083E">
              <w:rPr>
                <w:rFonts w:ascii="Arial" w:hAnsi="Arial" w:cs="Arial"/>
                <w:b/>
                <w:sz w:val="20"/>
                <w:szCs w:val="20"/>
              </w:rPr>
              <w:t>Limitations:</w:t>
            </w:r>
            <w:r w:rsidRPr="0045083E">
              <w:rPr>
                <w:rFonts w:ascii="Arial" w:hAnsi="Arial" w:cs="Arial"/>
                <w:sz w:val="20"/>
                <w:szCs w:val="20"/>
              </w:rPr>
              <w:t xml:space="preserve"> </w:t>
            </w:r>
            <w:r w:rsidR="0045083E" w:rsidRPr="0045083E">
              <w:rPr>
                <w:rFonts w:ascii="Arial" w:hAnsi="Arial" w:cs="Arial"/>
                <w:sz w:val="20"/>
                <w:szCs w:val="20"/>
              </w:rPr>
              <w:br/>
            </w:r>
            <w:r w:rsidRPr="0045083E">
              <w:rPr>
                <w:rFonts w:ascii="Arial" w:hAnsi="Arial" w:cs="Arial"/>
                <w:sz w:val="20"/>
                <w:szCs w:val="20"/>
              </w:rPr>
              <w:t>Giving primarily in KS and MO, with emphasis on the bi-state Kansas City area.</w:t>
            </w:r>
          </w:p>
        </w:tc>
        <w:tc>
          <w:tcPr>
            <w:tcW w:w="2022" w:type="dxa"/>
            <w:vAlign w:val="center"/>
          </w:tcPr>
          <w:p w:rsidR="000C0E8C" w:rsidRPr="0045083E" w:rsidRDefault="000C0E8C" w:rsidP="0045083E">
            <w:pPr>
              <w:jc w:val="center"/>
              <w:rPr>
                <w:rFonts w:ascii="Arial" w:hAnsi="Arial" w:cs="Arial"/>
                <w:sz w:val="20"/>
                <w:szCs w:val="20"/>
              </w:rPr>
            </w:pPr>
            <w:r w:rsidRPr="0045083E">
              <w:rPr>
                <w:rFonts w:ascii="Arial" w:hAnsi="Arial" w:cs="Arial"/>
                <w:sz w:val="20"/>
                <w:szCs w:val="20"/>
              </w:rPr>
              <w:t>Application form not required.</w:t>
            </w:r>
          </w:p>
          <w:p w:rsidR="000C0E8C" w:rsidRPr="0045083E" w:rsidRDefault="000C0E8C" w:rsidP="0045083E">
            <w:pPr>
              <w:jc w:val="center"/>
              <w:rPr>
                <w:rFonts w:ascii="Arial" w:hAnsi="Arial" w:cs="Arial"/>
                <w:sz w:val="20"/>
                <w:szCs w:val="20"/>
              </w:rPr>
            </w:pPr>
            <w:r w:rsidRPr="0045083E">
              <w:rPr>
                <w:rFonts w:ascii="Arial" w:hAnsi="Arial" w:cs="Arial"/>
                <w:sz w:val="20"/>
                <w:szCs w:val="20"/>
              </w:rPr>
              <w:t>Initial approach: Letter</w:t>
            </w:r>
          </w:p>
          <w:p w:rsidR="000C0E8C" w:rsidRPr="0045083E" w:rsidRDefault="000C0E8C" w:rsidP="0045083E">
            <w:pPr>
              <w:jc w:val="center"/>
              <w:rPr>
                <w:rFonts w:ascii="Arial" w:hAnsi="Arial" w:cs="Arial"/>
                <w:sz w:val="20"/>
                <w:szCs w:val="20"/>
              </w:rPr>
            </w:pPr>
            <w:r w:rsidRPr="0045083E">
              <w:rPr>
                <w:rFonts w:ascii="Arial" w:hAnsi="Arial" w:cs="Arial"/>
                <w:sz w:val="20"/>
                <w:szCs w:val="20"/>
              </w:rPr>
              <w:t>Deadline(s): None</w:t>
            </w:r>
          </w:p>
        </w:tc>
        <w:tc>
          <w:tcPr>
            <w:tcW w:w="1726" w:type="dxa"/>
            <w:vAlign w:val="center"/>
          </w:tcPr>
          <w:p w:rsidR="000C0E8C" w:rsidRPr="0045083E" w:rsidRDefault="000C0E8C" w:rsidP="0045083E">
            <w:pPr>
              <w:jc w:val="center"/>
              <w:rPr>
                <w:rFonts w:ascii="Arial" w:hAnsi="Arial" w:cs="Arial"/>
                <w:sz w:val="20"/>
                <w:szCs w:val="20"/>
              </w:rPr>
            </w:pPr>
            <w:r w:rsidRPr="0045083E">
              <w:rPr>
                <w:rFonts w:ascii="Arial" w:hAnsi="Arial" w:cs="Arial"/>
                <w:sz w:val="20"/>
                <w:szCs w:val="20"/>
              </w:rPr>
              <w:t>January</w:t>
            </w:r>
          </w:p>
          <w:p w:rsidR="000C0E8C" w:rsidRPr="0045083E" w:rsidRDefault="000C0E8C" w:rsidP="0045083E">
            <w:pPr>
              <w:jc w:val="center"/>
              <w:rPr>
                <w:rFonts w:ascii="Arial" w:hAnsi="Arial" w:cs="Arial"/>
                <w:sz w:val="20"/>
                <w:szCs w:val="20"/>
              </w:rPr>
            </w:pPr>
            <w:r w:rsidRPr="0045083E">
              <w:rPr>
                <w:rFonts w:ascii="Arial" w:hAnsi="Arial" w:cs="Arial"/>
                <w:sz w:val="20"/>
                <w:szCs w:val="20"/>
              </w:rPr>
              <w:t>$10,000</w:t>
            </w:r>
          </w:p>
          <w:p w:rsidR="000C0E8C" w:rsidRPr="0045083E" w:rsidRDefault="000C0E8C" w:rsidP="0045083E">
            <w:pPr>
              <w:jc w:val="center"/>
              <w:rPr>
                <w:rFonts w:ascii="Arial" w:hAnsi="Arial" w:cs="Arial"/>
                <w:sz w:val="20"/>
                <w:szCs w:val="20"/>
              </w:rPr>
            </w:pPr>
            <w:r w:rsidRPr="0045083E">
              <w:rPr>
                <w:rFonts w:ascii="Arial" w:hAnsi="Arial" w:cs="Arial"/>
                <w:sz w:val="20"/>
                <w:szCs w:val="20"/>
              </w:rPr>
              <w:t>Youth Newsletter</w:t>
            </w:r>
          </w:p>
        </w:tc>
        <w:tc>
          <w:tcPr>
            <w:tcW w:w="1796" w:type="dxa"/>
            <w:vAlign w:val="center"/>
          </w:tcPr>
          <w:p w:rsidR="000C0E8C" w:rsidRPr="0045083E" w:rsidRDefault="000C0E8C" w:rsidP="0045083E">
            <w:pPr>
              <w:jc w:val="center"/>
              <w:rPr>
                <w:rFonts w:ascii="Arial" w:hAnsi="Arial" w:cs="Arial"/>
                <w:sz w:val="20"/>
                <w:szCs w:val="20"/>
              </w:rPr>
            </w:pPr>
            <w:r w:rsidRPr="0045083E">
              <w:rPr>
                <w:rFonts w:ascii="Arial" w:hAnsi="Arial" w:cs="Arial"/>
                <w:sz w:val="20"/>
                <w:szCs w:val="20"/>
              </w:rPr>
              <w:t>Sent 1/1/3; meeting 1/15/3; pending</w:t>
            </w:r>
          </w:p>
        </w:tc>
      </w:tr>
    </w:tbl>
    <w:p w:rsidR="000C0E8C" w:rsidRPr="000C0E8C" w:rsidRDefault="000C0E8C" w:rsidP="000C0E8C">
      <w:pPr>
        <w:rPr>
          <w:rFonts w:ascii="Arial" w:hAnsi="Arial" w:cs="Arial"/>
        </w:rPr>
      </w:pPr>
      <w:r w:rsidRPr="000C0E8C">
        <w:rPr>
          <w:rFonts w:ascii="Arial" w:hAnsi="Arial" w:cs="Arial"/>
        </w:rPr>
        <w:lastRenderedPageBreak/>
        <w:t xml:space="preserve">Equally important to timely proposal submission is your organization’s follow-up with the foundation while the grant is under consideration. Suggestions for successful follow-up include: </w:t>
      </w:r>
    </w:p>
    <w:p w:rsidR="000C0E8C" w:rsidRPr="000C0E8C" w:rsidRDefault="000C0E8C" w:rsidP="000C0E8C">
      <w:pPr>
        <w:pStyle w:val="ListParagraph"/>
        <w:numPr>
          <w:ilvl w:val="0"/>
          <w:numId w:val="1"/>
        </w:numPr>
        <w:rPr>
          <w:rFonts w:ascii="Arial" w:hAnsi="Arial" w:cs="Arial"/>
        </w:rPr>
      </w:pPr>
      <w:r w:rsidRPr="000C0E8C">
        <w:rPr>
          <w:rFonts w:ascii="Arial" w:hAnsi="Arial" w:cs="Arial"/>
        </w:rPr>
        <w:t xml:space="preserve">Where possible, match individual board member with requests, especially if a board member knows someone on the foundation board. The board member can make phone calls, arrange for site visits, or take a funder out to lunch. Board members can also be paired with development staff at meetings. </w:t>
      </w:r>
    </w:p>
    <w:p w:rsidR="000C0E8C" w:rsidRPr="000C0E8C" w:rsidRDefault="000C0E8C" w:rsidP="000C0E8C">
      <w:pPr>
        <w:pStyle w:val="ListParagraph"/>
        <w:numPr>
          <w:ilvl w:val="0"/>
          <w:numId w:val="1"/>
        </w:numPr>
        <w:rPr>
          <w:rFonts w:ascii="Arial" w:hAnsi="Arial" w:cs="Arial"/>
        </w:rPr>
      </w:pPr>
      <w:r w:rsidRPr="000C0E8C">
        <w:rPr>
          <w:rFonts w:ascii="Arial" w:hAnsi="Arial" w:cs="Arial"/>
        </w:rPr>
        <w:t xml:space="preserve">Call the funder one to two weeks after submission to make sure the request has been received. Ask if you can set up: 1) a site visit, 2) a meeting at the foundation, or 3) a phone conference. </w:t>
      </w:r>
    </w:p>
    <w:p w:rsidR="000C0E8C" w:rsidRPr="000C0E8C" w:rsidRDefault="000C0E8C" w:rsidP="000C0E8C">
      <w:pPr>
        <w:pStyle w:val="ListParagraph"/>
        <w:numPr>
          <w:ilvl w:val="0"/>
          <w:numId w:val="1"/>
        </w:numPr>
        <w:rPr>
          <w:rFonts w:ascii="Arial" w:hAnsi="Arial" w:cs="Arial"/>
        </w:rPr>
      </w:pPr>
      <w:r w:rsidRPr="000C0E8C">
        <w:rPr>
          <w:rFonts w:ascii="Arial" w:hAnsi="Arial" w:cs="Arial"/>
        </w:rPr>
        <w:t xml:space="preserve">Always follow up meetings, site visits or phone conferences with a written thank you. </w:t>
      </w:r>
    </w:p>
    <w:p w:rsidR="000E63B4" w:rsidRPr="000C0E8C" w:rsidRDefault="000C0E8C" w:rsidP="000C0E8C">
      <w:pPr>
        <w:pStyle w:val="ListParagraph"/>
        <w:numPr>
          <w:ilvl w:val="0"/>
          <w:numId w:val="1"/>
        </w:numPr>
        <w:rPr>
          <w:rFonts w:ascii="Arial" w:hAnsi="Arial" w:cs="Arial"/>
        </w:rPr>
      </w:pPr>
      <w:r w:rsidRPr="000C0E8C">
        <w:rPr>
          <w:rFonts w:ascii="Arial" w:hAnsi="Arial" w:cs="Arial"/>
        </w:rPr>
        <w:t xml:space="preserve">If your request is declined, call the contact to find out if they are open to discussing why it was rejected. In this conversation you can find out critical information, including how to improve your application and whether or not you can re-apply in the next funding cycle. Major funders might initially decline a request from an unfamiliar organization; however if you stay in touch and keep them apprised of how your program is going, it may be on the second or third try that funding comes through.   </w:t>
      </w:r>
    </w:p>
    <w:sectPr w:rsidR="000E63B4" w:rsidRPr="000C0E8C" w:rsidSect="000E63B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9F" w:rsidRDefault="0008569F" w:rsidP="000C0E8C">
      <w:pPr>
        <w:spacing w:after="0" w:line="240" w:lineRule="auto"/>
      </w:pPr>
      <w:r>
        <w:separator/>
      </w:r>
    </w:p>
  </w:endnote>
  <w:endnote w:type="continuationSeparator" w:id="0">
    <w:p w:rsidR="0008569F" w:rsidRDefault="0008569F" w:rsidP="000C0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18"/>
      </w:rPr>
      <w:id w:val="565050523"/>
      <w:docPartObj>
        <w:docPartGallery w:val="Page Numbers (Top of Page)"/>
        <w:docPartUnique/>
      </w:docPartObj>
    </w:sdtPr>
    <w:sdtContent>
      <w:p w:rsidR="0008569F" w:rsidRPr="009B4B38" w:rsidRDefault="0008569F" w:rsidP="000C0E8C">
        <w:pPr>
          <w:autoSpaceDE w:val="0"/>
          <w:autoSpaceDN w:val="0"/>
          <w:adjustRightInd w:val="0"/>
          <w:spacing w:before="100" w:after="100" w:line="240" w:lineRule="auto"/>
          <w:jc w:val="center"/>
          <w:rPr>
            <w:rFonts w:ascii="Arial" w:hAnsi="Arial"/>
            <w:sz w:val="18"/>
            <w:szCs w:val="18"/>
          </w:rPr>
        </w:pPr>
        <w:r w:rsidRPr="00051E8C">
          <w:rPr>
            <w:rFonts w:ascii="Arial" w:hAnsi="Arial" w:cs="Arial"/>
            <w:sz w:val="18"/>
            <w:szCs w:val="18"/>
          </w:rPr>
          <w:t>© 2008 The Moran Company</w:t>
        </w:r>
        <w:r w:rsidRPr="00051E8C">
          <w:rPr>
            <w:rFonts w:ascii="Arial" w:hAnsi="Arial" w:cs="Arial"/>
            <w:sz w:val="18"/>
            <w:szCs w:val="18"/>
          </w:rPr>
          <w:br/>
        </w:r>
        <w:hyperlink r:id="rId1" w:history="1">
          <w:r w:rsidRPr="009B4B38">
            <w:rPr>
              <w:rFonts w:ascii="Arial" w:hAnsi="Arial" w:cs="Arial"/>
              <w:color w:val="800080"/>
              <w:sz w:val="18"/>
              <w:szCs w:val="18"/>
              <w:u w:val="single"/>
            </w:rPr>
            <w:t>www.MoranCompany.com</w:t>
          </w:r>
        </w:hyperlink>
        <w:r w:rsidRPr="00051E8C">
          <w:rPr>
            <w:rFonts w:ascii="Arial" w:hAnsi="Arial" w:cs="Arial"/>
            <w:sz w:val="18"/>
            <w:szCs w:val="18"/>
          </w:rPr>
          <w:br/>
        </w:r>
        <w:r w:rsidRPr="009B4B38">
          <w:rPr>
            <w:rFonts w:ascii="Arial" w:hAnsi="Arial" w:cs="Arial"/>
            <w:i/>
            <w:iCs/>
            <w:sz w:val="18"/>
            <w:szCs w:val="18"/>
          </w:rPr>
          <w:t>"We find great nonprofit executives"</w:t>
        </w:r>
      </w:p>
      <w:p w:rsidR="0008569F" w:rsidRPr="009B4B38" w:rsidRDefault="0008569F" w:rsidP="000C0E8C">
        <w:pPr>
          <w:pStyle w:val="Footer"/>
          <w:jc w:val="right"/>
          <w:rPr>
            <w:rFonts w:ascii="Arial" w:hAnsi="Arial"/>
            <w:sz w:val="18"/>
          </w:rPr>
        </w:pPr>
      </w:p>
      <w:p w:rsidR="0008569F" w:rsidRPr="000C0E8C" w:rsidRDefault="0008569F" w:rsidP="000C0E8C">
        <w:pPr>
          <w:pStyle w:val="Footer"/>
          <w:jc w:val="right"/>
          <w:rPr>
            <w:rFonts w:ascii="Arial" w:hAnsi="Arial"/>
            <w:sz w:val="18"/>
          </w:rPr>
        </w:pPr>
        <w:r w:rsidRPr="009B4B38">
          <w:rPr>
            <w:rFonts w:ascii="Arial" w:hAnsi="Arial"/>
            <w:sz w:val="18"/>
          </w:rPr>
          <w:t xml:space="preserve">Page </w:t>
        </w:r>
        <w:r w:rsidRPr="009B4B38">
          <w:rPr>
            <w:rFonts w:ascii="Arial" w:hAnsi="Arial"/>
            <w:sz w:val="18"/>
            <w:szCs w:val="24"/>
          </w:rPr>
          <w:fldChar w:fldCharType="begin"/>
        </w:r>
        <w:r w:rsidRPr="009B4B38">
          <w:rPr>
            <w:rFonts w:ascii="Arial" w:hAnsi="Arial"/>
            <w:sz w:val="18"/>
          </w:rPr>
          <w:instrText xml:space="preserve"> PAGE </w:instrText>
        </w:r>
        <w:r w:rsidRPr="009B4B38">
          <w:rPr>
            <w:rFonts w:ascii="Arial" w:hAnsi="Arial"/>
            <w:sz w:val="18"/>
            <w:szCs w:val="24"/>
          </w:rPr>
          <w:fldChar w:fldCharType="separate"/>
        </w:r>
        <w:r w:rsidR="006D09F1">
          <w:rPr>
            <w:rFonts w:ascii="Arial" w:hAnsi="Arial"/>
            <w:noProof/>
            <w:sz w:val="18"/>
          </w:rPr>
          <w:t>1</w:t>
        </w:r>
        <w:r w:rsidRPr="009B4B38">
          <w:rPr>
            <w:rFonts w:ascii="Arial" w:hAnsi="Arial"/>
            <w:sz w:val="18"/>
            <w:szCs w:val="24"/>
          </w:rPr>
          <w:fldChar w:fldCharType="end"/>
        </w:r>
        <w:r w:rsidRPr="009B4B38">
          <w:rPr>
            <w:rFonts w:ascii="Arial" w:hAnsi="Arial"/>
            <w:sz w:val="18"/>
          </w:rPr>
          <w:t xml:space="preserve"> of </w:t>
        </w:r>
        <w:r w:rsidRPr="009B4B38">
          <w:rPr>
            <w:rFonts w:ascii="Arial" w:hAnsi="Arial"/>
            <w:sz w:val="18"/>
            <w:szCs w:val="24"/>
          </w:rPr>
          <w:fldChar w:fldCharType="begin"/>
        </w:r>
        <w:r w:rsidRPr="009B4B38">
          <w:rPr>
            <w:rFonts w:ascii="Arial" w:hAnsi="Arial"/>
            <w:sz w:val="18"/>
          </w:rPr>
          <w:instrText xml:space="preserve"> NUMPAGES  </w:instrText>
        </w:r>
        <w:r w:rsidRPr="009B4B38">
          <w:rPr>
            <w:rFonts w:ascii="Arial" w:hAnsi="Arial"/>
            <w:sz w:val="18"/>
            <w:szCs w:val="24"/>
          </w:rPr>
          <w:fldChar w:fldCharType="separate"/>
        </w:r>
        <w:r w:rsidR="006D09F1">
          <w:rPr>
            <w:rFonts w:ascii="Arial" w:hAnsi="Arial"/>
            <w:noProof/>
            <w:sz w:val="18"/>
          </w:rPr>
          <w:t>2</w:t>
        </w:r>
        <w:r w:rsidRPr="009B4B38">
          <w:rPr>
            <w:rFonts w:ascii="Arial" w:hAnsi="Arial"/>
            <w:sz w:val="18"/>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9F" w:rsidRDefault="0008569F" w:rsidP="000C0E8C">
      <w:pPr>
        <w:spacing w:after="0" w:line="240" w:lineRule="auto"/>
      </w:pPr>
      <w:r>
        <w:separator/>
      </w:r>
    </w:p>
  </w:footnote>
  <w:footnote w:type="continuationSeparator" w:id="0">
    <w:p w:rsidR="0008569F" w:rsidRDefault="0008569F" w:rsidP="000C0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A15"/>
    <w:multiLevelType w:val="hybridMultilevel"/>
    <w:tmpl w:val="E74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25804"/>
    <w:multiLevelType w:val="hybridMultilevel"/>
    <w:tmpl w:val="9EF0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0C0E8C"/>
    <w:rsid w:val="0008569F"/>
    <w:rsid w:val="000C0E8C"/>
    <w:rsid w:val="000E63B4"/>
    <w:rsid w:val="0045083E"/>
    <w:rsid w:val="0059417B"/>
    <w:rsid w:val="006D09F1"/>
    <w:rsid w:val="00B70402"/>
    <w:rsid w:val="00BC5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8C"/>
    <w:pPr>
      <w:ind w:left="720"/>
      <w:contextualSpacing/>
    </w:pPr>
  </w:style>
  <w:style w:type="paragraph" w:styleId="Header">
    <w:name w:val="header"/>
    <w:basedOn w:val="Normal"/>
    <w:link w:val="HeaderChar"/>
    <w:uiPriority w:val="99"/>
    <w:semiHidden/>
    <w:unhideWhenUsed/>
    <w:rsid w:val="000C0E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E8C"/>
  </w:style>
  <w:style w:type="paragraph" w:styleId="Footer">
    <w:name w:val="footer"/>
    <w:basedOn w:val="Normal"/>
    <w:link w:val="FooterChar"/>
    <w:uiPriority w:val="99"/>
    <w:unhideWhenUsed/>
    <w:rsid w:val="000C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E8C"/>
  </w:style>
  <w:style w:type="paragraph" w:styleId="BalloonText">
    <w:name w:val="Balloon Text"/>
    <w:basedOn w:val="Normal"/>
    <w:link w:val="BalloonTextChar"/>
    <w:uiPriority w:val="99"/>
    <w:semiHidden/>
    <w:unhideWhenUsed/>
    <w:rsid w:val="000C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8C"/>
    <w:rPr>
      <w:rFonts w:ascii="Tahoma" w:hAnsi="Tahoma" w:cs="Tahoma"/>
      <w:sz w:val="16"/>
      <w:szCs w:val="16"/>
    </w:rPr>
  </w:style>
  <w:style w:type="character" w:styleId="Hyperlink">
    <w:name w:val="Hyperlink"/>
    <w:basedOn w:val="DefaultParagraphFont"/>
    <w:uiPriority w:val="99"/>
    <w:unhideWhenUsed/>
    <w:rsid w:val="000C0E8C"/>
    <w:rPr>
      <w:color w:val="0000FF" w:themeColor="hyperlink"/>
      <w:u w:val="single"/>
    </w:rPr>
  </w:style>
  <w:style w:type="character" w:styleId="FollowedHyperlink">
    <w:name w:val="FollowedHyperlink"/>
    <w:basedOn w:val="DefaultParagraphFont"/>
    <w:uiPriority w:val="99"/>
    <w:semiHidden/>
    <w:unhideWhenUsed/>
    <w:rsid w:val="000C0E8C"/>
    <w:rPr>
      <w:color w:val="800080" w:themeColor="followedHyperlink"/>
      <w:u w:val="single"/>
    </w:rPr>
  </w:style>
  <w:style w:type="table" w:styleId="TableGrid">
    <w:name w:val="Table Grid"/>
    <w:basedOn w:val="TableNormal"/>
    <w:uiPriority w:val="59"/>
    <w:rsid w:val="000C0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file:///\\HOME\DFS\USERS\CARRIE\My%20Documents\Moran\Moran%20forms\&#22649;&#62593;&#7483;&#18559;&#11439;&#23938;&#34244;&#253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7B35"/>
    <w:rsid w:val="000E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AC3952083440093D9AA21A545F3D8">
    <w:name w:val="E40AC3952083440093D9AA21A545F3D8"/>
    <w:rsid w:val="000E7B35"/>
  </w:style>
  <w:style w:type="paragraph" w:customStyle="1" w:styleId="7AEF225100F04197825F52241704B7E9">
    <w:name w:val="7AEF225100F04197825F52241704B7E9"/>
    <w:rsid w:val="000E7B35"/>
  </w:style>
  <w:style w:type="paragraph" w:customStyle="1" w:styleId="5B209197A868490182EDFA37F7EAC378">
    <w:name w:val="5B209197A868490182EDFA37F7EAC378"/>
    <w:rsid w:val="000E7B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Millard</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Millard</dc:creator>
  <cp:lastModifiedBy>Carrie Millard</cp:lastModifiedBy>
  <cp:revision>3</cp:revision>
  <dcterms:created xsi:type="dcterms:W3CDTF">2011-09-05T17:12:00Z</dcterms:created>
  <dcterms:modified xsi:type="dcterms:W3CDTF">2011-09-05T17:21:00Z</dcterms:modified>
</cp:coreProperties>
</file>